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32" w:rsidRPr="000F708C" w:rsidRDefault="00FA5F6C">
      <w:pPr>
        <w:jc w:val="center"/>
      </w:pPr>
      <w:r w:rsidRPr="000F708C">
        <w:rPr>
          <w:rFonts w:asciiTheme="majorHAnsi" w:eastAsiaTheme="majorEastAsia" w:hAnsiTheme="majorHAnsi" w:cstheme="majorBidi"/>
          <w:b/>
          <w:bCs/>
          <w:sz w:val="40"/>
          <w:szCs w:val="40"/>
        </w:rPr>
        <w:t xml:space="preserve">Syllabus </w:t>
      </w:r>
      <w:proofErr w:type="spellStart"/>
      <w:r w:rsidRPr="000F708C">
        <w:rPr>
          <w:rFonts w:asciiTheme="majorHAnsi" w:eastAsiaTheme="majorEastAsia" w:hAnsiTheme="majorHAnsi" w:cstheme="majorBidi"/>
          <w:b/>
          <w:bCs/>
          <w:sz w:val="40"/>
          <w:szCs w:val="40"/>
        </w:rPr>
        <w:t>Attività</w:t>
      </w:r>
      <w:proofErr w:type="spellEnd"/>
      <w:r w:rsidRPr="000F708C">
        <w:rPr>
          <w:rFonts w:asciiTheme="majorHAnsi" w:eastAsiaTheme="majorEastAsia" w:hAnsiTheme="majorHAnsi" w:cstheme="majorBidi"/>
          <w:b/>
          <w:bCs/>
          <w:sz w:val="40"/>
          <w:szCs w:val="40"/>
        </w:rPr>
        <w:t xml:space="preserve"> </w:t>
      </w:r>
      <w:proofErr w:type="spellStart"/>
      <w:r w:rsidRPr="000F708C">
        <w:rPr>
          <w:rFonts w:asciiTheme="majorHAnsi" w:eastAsiaTheme="majorEastAsia" w:hAnsiTheme="majorHAnsi" w:cstheme="majorBidi"/>
          <w:b/>
          <w:bCs/>
          <w:sz w:val="40"/>
          <w:szCs w:val="40"/>
        </w:rPr>
        <w:t>Formativa</w:t>
      </w:r>
      <w:proofErr w:type="spellEnd"/>
    </w:p>
    <w:p w:rsidR="00B56432" w:rsidRPr="000F708C" w:rsidRDefault="00B564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10663"/>
      </w:tblGrid>
      <w:tr w:rsidR="000F708C" w:rsidRPr="000F708C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Anno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Offerta</w:t>
            </w:r>
            <w:proofErr w:type="spellEnd"/>
          </w:p>
        </w:tc>
        <w:tc>
          <w:tcPr>
            <w:tcW w:w="1066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2021</w:t>
            </w:r>
          </w:p>
        </w:tc>
      </w:tr>
      <w:tr w:rsidR="000F708C" w:rsidRPr="000F708C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  <w:b/>
                <w:bCs/>
              </w:rPr>
              <w:t>Corso di Studio</w:t>
            </w:r>
          </w:p>
        </w:tc>
        <w:tc>
          <w:tcPr>
            <w:tcW w:w="1066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0701 - FARMACIA</w:t>
            </w:r>
          </w:p>
        </w:tc>
      </w:tr>
      <w:tr w:rsidR="000F708C" w:rsidRPr="000F708C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Regolamento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Didattico</w:t>
            </w:r>
            <w:proofErr w:type="spellEnd"/>
          </w:p>
        </w:tc>
        <w:tc>
          <w:tcPr>
            <w:tcW w:w="1066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0701-10-18</w:t>
            </w:r>
          </w:p>
        </w:tc>
      </w:tr>
      <w:tr w:rsidR="000F708C" w:rsidRPr="000F708C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Percorso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di Studio</w:t>
            </w:r>
          </w:p>
        </w:tc>
        <w:tc>
          <w:tcPr>
            <w:tcW w:w="1066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GEN - CORSO GENERICO</w:t>
            </w:r>
          </w:p>
        </w:tc>
      </w:tr>
      <w:tr w:rsidR="000F708C" w:rsidRPr="000F708C">
        <w:trPr>
          <w:trHeight w:hRule="exact" w:val="600"/>
        </w:trPr>
        <w:tc>
          <w:tcPr>
            <w:tcW w:w="3341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Insegnamento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>/Modulo</w:t>
            </w:r>
          </w:p>
        </w:tc>
        <w:tc>
          <w:tcPr>
            <w:tcW w:w="1066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DIS0010 - ECONOMIA E GESTIONE DELLE IMPRESE - ECONOMICS AND BUSINESS MANAGEMENT</w:t>
            </w:r>
          </w:p>
        </w:tc>
      </w:tr>
      <w:tr w:rsidR="000F708C" w:rsidRPr="000F708C">
        <w:trPr>
          <w:trHeight w:hRule="exact" w:val="600"/>
        </w:trPr>
        <w:tc>
          <w:tcPr>
            <w:tcW w:w="3341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Attività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Formativa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Integrata</w:t>
            </w:r>
            <w:proofErr w:type="spellEnd"/>
          </w:p>
        </w:tc>
        <w:tc>
          <w:tcPr>
            <w:tcW w:w="1066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 xml:space="preserve"> - </w:t>
            </w:r>
          </w:p>
        </w:tc>
      </w:tr>
      <w:tr w:rsidR="000F708C" w:rsidRPr="000F708C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Partizione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Studenti</w:t>
            </w:r>
            <w:proofErr w:type="spellEnd"/>
          </w:p>
        </w:tc>
        <w:tc>
          <w:tcPr>
            <w:tcW w:w="1066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 xml:space="preserve"> - </w:t>
            </w:r>
          </w:p>
        </w:tc>
      </w:tr>
      <w:tr w:rsidR="000F708C" w:rsidRPr="000F708C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Periodo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Didattico</w:t>
            </w:r>
            <w:proofErr w:type="spellEnd"/>
          </w:p>
        </w:tc>
        <w:tc>
          <w:tcPr>
            <w:tcW w:w="1066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 xml:space="preserve">S1 - Primo </w:t>
            </w:r>
            <w:proofErr w:type="spellStart"/>
            <w:r w:rsidRPr="000F708C">
              <w:rPr>
                <w:rFonts w:ascii="Arial" w:eastAsia="Times New Roman" w:hAnsi="Arial" w:cs="Times New Roman"/>
              </w:rPr>
              <w:t>Semestre</w:t>
            </w:r>
            <w:proofErr w:type="spellEnd"/>
          </w:p>
        </w:tc>
      </w:tr>
      <w:tr w:rsidR="000F708C" w:rsidRPr="000F708C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Sede</w:t>
            </w:r>
            <w:proofErr w:type="spellEnd"/>
          </w:p>
        </w:tc>
        <w:tc>
          <w:tcPr>
            <w:tcW w:w="1066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POTENZA</w:t>
            </w:r>
          </w:p>
        </w:tc>
      </w:tr>
      <w:tr w:rsidR="000F708C" w:rsidRPr="000F708C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  <w:b/>
                <w:bCs/>
              </w:rPr>
              <w:t>Anno Corso</w:t>
            </w:r>
          </w:p>
        </w:tc>
        <w:tc>
          <w:tcPr>
            <w:tcW w:w="1066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4</w:t>
            </w:r>
          </w:p>
        </w:tc>
      </w:tr>
      <w:tr w:rsidR="000F708C" w:rsidRPr="000F708C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Settore</w:t>
            </w:r>
            <w:proofErr w:type="spellEnd"/>
          </w:p>
        </w:tc>
        <w:tc>
          <w:tcPr>
            <w:tcW w:w="1066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SECS-P/08 - ECONOMIA E GESTIONE DELLE IMPRESE</w:t>
            </w:r>
          </w:p>
        </w:tc>
      </w:tr>
      <w:tr w:rsidR="000F708C" w:rsidRPr="000F708C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Tipo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attività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Formativa</w:t>
            </w:r>
            <w:proofErr w:type="spellEnd"/>
          </w:p>
        </w:tc>
        <w:tc>
          <w:tcPr>
            <w:tcW w:w="1066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C - Affine/</w:t>
            </w:r>
            <w:proofErr w:type="spellStart"/>
            <w:r w:rsidRPr="000F708C">
              <w:rPr>
                <w:rFonts w:ascii="Arial" w:eastAsia="Times New Roman" w:hAnsi="Arial" w:cs="Times New Roman"/>
              </w:rPr>
              <w:t>Integrativa</w:t>
            </w:r>
            <w:proofErr w:type="spellEnd"/>
          </w:p>
        </w:tc>
      </w:tr>
      <w:tr w:rsidR="000F708C" w:rsidRPr="000F708C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Ambito</w:t>
            </w:r>
            <w:proofErr w:type="spellEnd"/>
          </w:p>
        </w:tc>
        <w:tc>
          <w:tcPr>
            <w:tcW w:w="1066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 xml:space="preserve">20893 - </w:t>
            </w:r>
            <w:proofErr w:type="spellStart"/>
            <w:r w:rsidRPr="000F708C">
              <w:rPr>
                <w:rFonts w:ascii="Arial" w:eastAsia="Times New Roman" w:hAnsi="Arial" w:cs="Times New Roman"/>
              </w:rPr>
              <w:t>Attività</w:t>
            </w:r>
            <w:proofErr w:type="spellEnd"/>
            <w:r w:rsidRPr="000F708C">
              <w:rPr>
                <w:rFonts w:ascii="Arial" w:eastAsia="Times New Roman" w:hAnsi="Arial" w:cs="Times New Roman"/>
              </w:rPr>
              <w:t xml:space="preserve"> formative </w:t>
            </w:r>
            <w:proofErr w:type="spellStart"/>
            <w:r w:rsidRPr="000F708C">
              <w:rPr>
                <w:rFonts w:ascii="Arial" w:eastAsia="Times New Roman" w:hAnsi="Arial" w:cs="Times New Roman"/>
              </w:rPr>
              <w:t>affini</w:t>
            </w:r>
            <w:proofErr w:type="spellEnd"/>
            <w:r w:rsidRPr="000F708C">
              <w:rPr>
                <w:rFonts w:ascii="Arial" w:eastAsia="Times New Roman" w:hAnsi="Arial" w:cs="Times New Roman"/>
              </w:rPr>
              <w:t xml:space="preserve"> o integrative</w:t>
            </w:r>
          </w:p>
        </w:tc>
      </w:tr>
      <w:tr w:rsidR="000F708C" w:rsidRPr="000F708C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  <w:b/>
                <w:bCs/>
              </w:rPr>
              <w:t>CFU</w:t>
            </w:r>
          </w:p>
        </w:tc>
        <w:tc>
          <w:tcPr>
            <w:tcW w:w="1066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6.0</w:t>
            </w:r>
          </w:p>
        </w:tc>
      </w:tr>
      <w:tr w:rsidR="000F708C" w:rsidRPr="000F708C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Ore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Attività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Frontali</w:t>
            </w:r>
            <w:proofErr w:type="spellEnd"/>
          </w:p>
        </w:tc>
        <w:tc>
          <w:tcPr>
            <w:tcW w:w="1066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48.0</w:t>
            </w:r>
          </w:p>
        </w:tc>
      </w:tr>
      <w:tr w:rsidR="000F708C" w:rsidRPr="000F708C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  <w:b/>
                <w:bCs/>
              </w:rPr>
              <w:t>AF_ID</w:t>
            </w:r>
          </w:p>
        </w:tc>
        <w:tc>
          <w:tcPr>
            <w:tcW w:w="1066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23245</w:t>
            </w:r>
          </w:p>
        </w:tc>
      </w:tr>
    </w:tbl>
    <w:p w:rsidR="00B56432" w:rsidRPr="000F708C" w:rsidRDefault="00B56432"/>
    <w:p w:rsidR="00532E96" w:rsidRPr="000F708C" w:rsidRDefault="00532E96"/>
    <w:p w:rsidR="00532E96" w:rsidRPr="000F708C" w:rsidRDefault="00532E96"/>
    <w:p w:rsidR="00532E96" w:rsidRPr="000F708C" w:rsidRDefault="00532E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840"/>
        <w:gridCol w:w="1248"/>
        <w:gridCol w:w="533"/>
        <w:gridCol w:w="4348"/>
        <w:gridCol w:w="4336"/>
      </w:tblGrid>
      <w:tr w:rsidR="000F708C" w:rsidRPr="000F708C">
        <w:tc>
          <w:tcPr>
            <w:tcW w:w="1699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lastRenderedPageBreak/>
              <w:t>Tipo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Testo</w:t>
            </w:r>
            <w:proofErr w:type="spellEnd"/>
          </w:p>
        </w:tc>
        <w:tc>
          <w:tcPr>
            <w:tcW w:w="1840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Codice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Tipo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Testo</w:t>
            </w:r>
            <w:proofErr w:type="spellEnd"/>
          </w:p>
        </w:tc>
        <w:tc>
          <w:tcPr>
            <w:tcW w:w="1248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Num. Max.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Caratteri</w:t>
            </w:r>
            <w:proofErr w:type="spellEnd"/>
          </w:p>
        </w:tc>
        <w:tc>
          <w:tcPr>
            <w:tcW w:w="533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Obbl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>.</w:t>
            </w:r>
          </w:p>
        </w:tc>
        <w:tc>
          <w:tcPr>
            <w:tcW w:w="4348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Testo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in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Italiano</w:t>
            </w:r>
            <w:proofErr w:type="spellEnd"/>
          </w:p>
        </w:tc>
        <w:tc>
          <w:tcPr>
            <w:tcW w:w="4336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Testo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in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Inglese</w:t>
            </w:r>
            <w:proofErr w:type="spellEnd"/>
          </w:p>
        </w:tc>
      </w:tr>
      <w:tr w:rsidR="000F708C" w:rsidRPr="000F708C">
        <w:tc>
          <w:tcPr>
            <w:tcW w:w="1699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Lingua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insegnamento</w:t>
            </w:r>
            <w:proofErr w:type="spellEnd"/>
          </w:p>
        </w:tc>
        <w:tc>
          <w:tcPr>
            <w:tcW w:w="1840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LINGUA_INS</w:t>
            </w:r>
          </w:p>
        </w:tc>
        <w:tc>
          <w:tcPr>
            <w:tcW w:w="1248" w:type="dxa"/>
          </w:tcPr>
          <w:p w:rsidR="00B56432" w:rsidRPr="000F708C" w:rsidRDefault="00B56432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53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4348" w:type="dxa"/>
          </w:tcPr>
          <w:p w:rsidR="00B56432" w:rsidRPr="000F708C" w:rsidRDefault="00947422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</w:rPr>
              <w:t>Italiano</w:t>
            </w:r>
            <w:proofErr w:type="spellEnd"/>
          </w:p>
        </w:tc>
        <w:tc>
          <w:tcPr>
            <w:tcW w:w="4336" w:type="dxa"/>
          </w:tcPr>
          <w:p w:rsidR="00B56432" w:rsidRPr="000F708C" w:rsidRDefault="00556E21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Italian</w:t>
            </w:r>
          </w:p>
        </w:tc>
      </w:tr>
      <w:tr w:rsidR="000F708C" w:rsidRPr="000F708C">
        <w:tc>
          <w:tcPr>
            <w:tcW w:w="1699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Obiettivi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formativi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e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risultati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apprendimento</w:t>
            </w:r>
            <w:proofErr w:type="spellEnd"/>
          </w:p>
        </w:tc>
        <w:tc>
          <w:tcPr>
            <w:tcW w:w="1840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OBIETT_FORM</w:t>
            </w:r>
          </w:p>
        </w:tc>
        <w:tc>
          <w:tcPr>
            <w:tcW w:w="1248" w:type="dxa"/>
          </w:tcPr>
          <w:p w:rsidR="00B56432" w:rsidRPr="000F708C" w:rsidRDefault="00B56432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53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</w:rPr>
              <w:t>Sì</w:t>
            </w:r>
            <w:proofErr w:type="spellEnd"/>
          </w:p>
        </w:tc>
        <w:tc>
          <w:tcPr>
            <w:tcW w:w="4348" w:type="dxa"/>
          </w:tcPr>
          <w:p w:rsidR="00947422" w:rsidRPr="000F708C" w:rsidRDefault="00947422" w:rsidP="00B93F63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Al termine del Corso, lo studente sarà in grado di analizzare le dinamiche dell'ambiente competitivo e di valutare le scelte strategiche e operative delle imprese ivi operanti. Inoltre, conoscerà e saprà applicare i principali modelli di analisi strategica e dovrà mostrare di aver acquisito, anche in termini operativi, la capacità di utilizzare specifiche tecniche di gestione e di analisi della performance (gestione delle scorte, valutazione dei progetti di investimento, redazione di un business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plan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, analisi della potenzialità economico-strutturale di impresa, analisi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Swot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ecc.). In tal senso sarà particolarmente utile la partecipazione attiva ai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work che potranno articolarsi anche nella preparazione e nella discussione in aula di casi aziendali, che verranno preventivamente resi disponibili per gli studenti frequentanti, e che saranno rivolti ad approfondire, in chiave empirica, particolari temi del programma</w:t>
            </w:r>
          </w:p>
          <w:p w:rsidR="00B93F63" w:rsidRPr="000F708C" w:rsidRDefault="00947422" w:rsidP="00B93F63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Conoscenza e capacità di comprensione (</w:t>
            </w:r>
            <w:proofErr w:type="spellStart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  <w:proofErr w:type="spellEnd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knowledge</w:t>
            </w:r>
            <w:proofErr w:type="spellEnd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0F708C">
              <w:rPr>
                <w:rFonts w:ascii="Arial" w:hAnsi="Arial" w:cs="Arial"/>
                <w:sz w:val="18"/>
                <w:szCs w:val="18"/>
              </w:rPr>
              <w:t> - Lo studente dovrà dimostrare di aver acquisito un adeguato livello di conoscenza delle principali categorie concettuali economico-manageriali e delle log</w:t>
            </w:r>
            <w:r w:rsidR="00B93F63" w:rsidRPr="000F708C">
              <w:rPr>
                <w:rFonts w:ascii="Arial" w:hAnsi="Arial" w:cs="Arial"/>
                <w:sz w:val="18"/>
                <w:szCs w:val="18"/>
              </w:rPr>
              <w:t>iche di gestione delle imprese.</w:t>
            </w:r>
          </w:p>
          <w:p w:rsidR="00947422" w:rsidRPr="000F708C" w:rsidRDefault="00947422" w:rsidP="00B93F63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Capacità di applicare conoscenza e comprensione (</w:t>
            </w:r>
            <w:proofErr w:type="spellStart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  <w:proofErr w:type="spellEnd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knowledge</w:t>
            </w:r>
            <w:proofErr w:type="spellEnd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  <w:proofErr w:type="spellEnd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0F708C">
              <w:rPr>
                <w:rFonts w:ascii="Arial" w:hAnsi="Arial" w:cs="Arial"/>
                <w:sz w:val="18"/>
                <w:szCs w:val="18"/>
              </w:rPr>
              <w:t xml:space="preserve"> - Lo studente dovrà essere in grado di analizzare le dinamiche dell'ambiente competitivo di specifici settori e di valutare le scelte strategiche e operative delle imprese in essi operanti. Conoscerà inoltre i principali modelli di analisi strategica e dovrà essere in grado di utilizzare specifiche tecniche di gestione e di analisi della </w:t>
            </w:r>
            <w:r w:rsidRPr="000F708C">
              <w:rPr>
                <w:rFonts w:ascii="Arial" w:hAnsi="Arial" w:cs="Arial"/>
                <w:sz w:val="18"/>
                <w:szCs w:val="18"/>
              </w:rPr>
              <w:lastRenderedPageBreak/>
              <w:t xml:space="preserve">performance (gestione delle scorte, valutazione dei progetti di investimento, analisi della potenzialità economico-strutturale di impresa, analisi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Swot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ecc.). </w:t>
            </w:r>
          </w:p>
          <w:p w:rsidR="00947422" w:rsidRPr="000F708C" w:rsidRDefault="00947422" w:rsidP="00B93F63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Autonomia di giudizio (</w:t>
            </w:r>
            <w:proofErr w:type="spellStart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making</w:t>
            </w:r>
            <w:proofErr w:type="spellEnd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judgements</w:t>
            </w:r>
            <w:proofErr w:type="spellEnd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) </w:t>
            </w:r>
            <w:r w:rsidRPr="000F708C">
              <w:rPr>
                <w:rFonts w:ascii="Arial" w:hAnsi="Arial" w:cs="Arial"/>
                <w:sz w:val="18"/>
                <w:szCs w:val="18"/>
              </w:rPr>
              <w:t xml:space="preserve">- Lo studente maturerà avanzate capacità critiche e di ragionamento sugli argomenti teorici e pratici discussi in aula. Dovrà sviluppare una più accentuata attitudine al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problem-solving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>, anche attraverso l’analisi di casi reali.</w:t>
            </w:r>
          </w:p>
          <w:p w:rsidR="00947422" w:rsidRPr="000F708C" w:rsidRDefault="00947422" w:rsidP="00B93F63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Abilità comunicative (</w:t>
            </w:r>
            <w:proofErr w:type="spellStart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communication</w:t>
            </w:r>
            <w:proofErr w:type="spellEnd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skills</w:t>
            </w:r>
            <w:proofErr w:type="spellEnd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0F708C">
              <w:rPr>
                <w:rFonts w:ascii="Arial" w:hAnsi="Arial" w:cs="Arial"/>
                <w:sz w:val="18"/>
                <w:szCs w:val="18"/>
              </w:rPr>
              <w:t> - A conclusione del corso, ogni studente dovrà essere in grado di documentare, verbalmente e per iscritto, la conoscenza degli argomenti sviluppati con proprietà di linguaggio e consapevolezza tecnica sui temi discussi in aula. </w:t>
            </w:r>
          </w:p>
          <w:p w:rsidR="00B56432" w:rsidRPr="000F708C" w:rsidRDefault="00947422" w:rsidP="00B93F63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Capacità di apprendimento (</w:t>
            </w:r>
            <w:proofErr w:type="spellStart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learning</w:t>
            </w:r>
            <w:proofErr w:type="spellEnd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skills</w:t>
            </w:r>
            <w:proofErr w:type="spellEnd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0F708C">
              <w:rPr>
                <w:rFonts w:ascii="Arial" w:hAnsi="Arial" w:cs="Arial"/>
                <w:sz w:val="18"/>
                <w:szCs w:val="18"/>
              </w:rPr>
              <w:t> -  Lo studente saprà individuare e valutare le principali leve a disposizione del management per operare nei mercati; dovrà essere in grado di affinare le proprie capacità analitiche e di acquisire le basi necessarie per approfondire anche in autonomia la conoscenza delle principali problematiche di gestione, così come si presentano nella moderna e dinamica realtà aziendale.</w:t>
            </w:r>
          </w:p>
        </w:tc>
        <w:tc>
          <w:tcPr>
            <w:tcW w:w="4336" w:type="dxa"/>
          </w:tcPr>
          <w:p w:rsidR="00556E21" w:rsidRPr="000F708C" w:rsidRDefault="00671E89" w:rsidP="00556E21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lastRenderedPageBreak/>
              <w:t xml:space="preserve">At the end of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c</w:t>
            </w:r>
            <w:r w:rsidR="00556E21" w:rsidRPr="000F708C">
              <w:rPr>
                <w:rFonts w:ascii="Arial" w:hAnsi="Arial" w:cs="Arial"/>
                <w:sz w:val="18"/>
                <w:szCs w:val="18"/>
              </w:rPr>
              <w:t>ourse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, the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student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analyze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the of the competitive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environment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dynamics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and to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evaluate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strategic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operational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choices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firms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56E21" w:rsidRPr="000F708C" w:rsidRDefault="00556E21" w:rsidP="00556E21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In addition, the student will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know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how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apply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main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tools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strategic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analysis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have to show to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understood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also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operational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terms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,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ability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to use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specific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manangement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F708C">
              <w:rPr>
                <w:rFonts w:ascii="Arial" w:hAnsi="Arial" w:cs="Arial"/>
                <w:sz w:val="18"/>
                <w:szCs w:val="18"/>
              </w:rPr>
              <w:t>techniques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spellStart"/>
            <w:proofErr w:type="gramEnd"/>
            <w:r w:rsidRPr="000F708C">
              <w:rPr>
                <w:rFonts w:ascii="Arial" w:hAnsi="Arial" w:cs="Arial"/>
                <w:sz w:val="18"/>
                <w:szCs w:val="18"/>
              </w:rPr>
              <w:t>inventory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management,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evaluation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investment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projects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, drafting a business plan, analysis of the economic-structural potential of the company,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Swot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analysis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, etc.). For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this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reason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it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useful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active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participation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in the project work that can also be articulated in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preparation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discussion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of business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cases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93F63" w:rsidRPr="000F708C" w:rsidRDefault="00B93F63" w:rsidP="00B93F63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  <w:proofErr w:type="spellEnd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0F708C">
              <w:rPr>
                <w:rFonts w:ascii="Arial" w:hAnsi="Arial" w:cs="Arial"/>
                <w:b/>
                <w:bCs/>
                <w:sz w:val="18"/>
                <w:szCs w:val="18"/>
              </w:rPr>
              <w:t>knowledge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- The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student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demonstrate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understood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6E21" w:rsidRPr="000F708C">
              <w:rPr>
                <w:rFonts w:ascii="Arial" w:hAnsi="Arial" w:cs="Arial"/>
                <w:sz w:val="18"/>
                <w:szCs w:val="18"/>
              </w:rPr>
              <w:t>a</w:t>
            </w:r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good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level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knowledge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main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economic-managerial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conceptual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categories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also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of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firm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management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logics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93F63" w:rsidRPr="000F708C" w:rsidRDefault="00B93F63" w:rsidP="00B93F63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708C">
              <w:rPr>
                <w:rFonts w:ascii="Arial" w:hAnsi="Arial" w:cs="Arial"/>
                <w:b/>
                <w:sz w:val="18"/>
                <w:szCs w:val="18"/>
              </w:rPr>
              <w:t>Applying</w:t>
            </w:r>
            <w:proofErr w:type="spellEnd"/>
            <w:r w:rsidRPr="000F70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b/>
                <w:sz w:val="18"/>
                <w:szCs w:val="18"/>
              </w:rPr>
              <w:t>knowledge</w:t>
            </w:r>
            <w:proofErr w:type="spellEnd"/>
            <w:r w:rsidRPr="000F708C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0F708C">
              <w:rPr>
                <w:rFonts w:ascii="Arial" w:hAnsi="Arial" w:cs="Arial"/>
                <w:b/>
                <w:sz w:val="18"/>
                <w:szCs w:val="18"/>
              </w:rPr>
              <w:t>understanding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-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student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analyze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the competitive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environment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dynamics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and to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evaluate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strategic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operational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choices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firm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93F63" w:rsidRPr="000F708C" w:rsidRDefault="00B93F63" w:rsidP="00B93F63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They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also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know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main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models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tools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strategic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analysis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to show to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understood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also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operational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terms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,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ability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to use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specific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manangement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F708C">
              <w:rPr>
                <w:rFonts w:ascii="Arial" w:hAnsi="Arial" w:cs="Arial"/>
                <w:sz w:val="18"/>
                <w:szCs w:val="18"/>
              </w:rPr>
              <w:t>techniques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spellStart"/>
            <w:proofErr w:type="gramEnd"/>
            <w:r w:rsidRPr="000F708C">
              <w:rPr>
                <w:rFonts w:ascii="Arial" w:hAnsi="Arial" w:cs="Arial"/>
                <w:sz w:val="18"/>
                <w:szCs w:val="18"/>
              </w:rPr>
              <w:t>inventory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management,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evaluation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investment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projects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drafting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a business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plan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analysis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economic-structural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potential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of the company,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Swot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analysis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>, etc.).</w:t>
            </w:r>
          </w:p>
          <w:p w:rsidR="00B93F63" w:rsidRPr="000F708C" w:rsidRDefault="00B93F63" w:rsidP="00671E89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708C">
              <w:rPr>
                <w:rFonts w:ascii="Arial" w:hAnsi="Arial" w:cs="Arial"/>
                <w:b/>
                <w:sz w:val="18"/>
                <w:szCs w:val="18"/>
              </w:rPr>
              <w:lastRenderedPageBreak/>
              <w:t>Making</w:t>
            </w:r>
            <w:proofErr w:type="spellEnd"/>
            <w:r w:rsidRPr="000F70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b/>
                <w:sz w:val="18"/>
                <w:szCs w:val="18"/>
              </w:rPr>
              <w:t>judgements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-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student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develop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advanced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critical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reasoning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skills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on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theoretical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practical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issues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>. He/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she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develop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problem-solving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attitude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671E89" w:rsidRPr="000F708C">
              <w:rPr>
                <w:rFonts w:ascii="Arial" w:hAnsi="Arial" w:cs="Arial"/>
                <w:sz w:val="18"/>
                <w:szCs w:val="18"/>
              </w:rPr>
              <w:t>thanks</w:t>
            </w:r>
            <w:proofErr w:type="spellEnd"/>
            <w:r w:rsidR="00671E89" w:rsidRPr="000F708C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0F708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analysis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real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cases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71E89" w:rsidRPr="000F708C" w:rsidRDefault="00671E89" w:rsidP="00671E89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671E89" w:rsidRPr="000F708C" w:rsidRDefault="00671E89" w:rsidP="00671E89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708C">
              <w:rPr>
                <w:rFonts w:ascii="Arial" w:hAnsi="Arial" w:cs="Arial"/>
                <w:b/>
                <w:sz w:val="18"/>
                <w:szCs w:val="18"/>
              </w:rPr>
              <w:t>Communication</w:t>
            </w:r>
            <w:proofErr w:type="spellEnd"/>
            <w:r w:rsidRPr="000F70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b/>
                <w:sz w:val="18"/>
                <w:szCs w:val="18"/>
              </w:rPr>
              <w:t>Skills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- At the end of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course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each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student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should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trasfer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knowledge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topics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developed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language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technical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awareness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issues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discussed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71E89" w:rsidRPr="000F708C" w:rsidRDefault="00671E89" w:rsidP="00671E89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671E89" w:rsidRPr="000F708C" w:rsidRDefault="00671E89" w:rsidP="00523A9E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b/>
                <w:sz w:val="18"/>
                <w:szCs w:val="18"/>
              </w:rPr>
              <w:t xml:space="preserve">Learning </w:t>
            </w:r>
            <w:proofErr w:type="spellStart"/>
            <w:r w:rsidRPr="000F708C">
              <w:rPr>
                <w:rFonts w:ascii="Arial" w:hAnsi="Arial" w:cs="Arial"/>
                <w:b/>
                <w:sz w:val="18"/>
                <w:szCs w:val="18"/>
              </w:rPr>
              <w:t>skills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-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student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identify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evaluate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main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3A9E" w:rsidRPr="000F708C">
              <w:rPr>
                <w:rFonts w:ascii="Arial" w:hAnsi="Arial" w:cs="Arial"/>
                <w:sz w:val="18"/>
                <w:szCs w:val="18"/>
              </w:rPr>
              <w:t xml:space="preserve">management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levers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to operate in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markets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>; he/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she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refine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analytical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skills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523A9E" w:rsidRPr="000F708C">
              <w:rPr>
                <w:rFonts w:ascii="Arial" w:hAnsi="Arial" w:cs="Arial"/>
                <w:sz w:val="18"/>
                <w:szCs w:val="18"/>
              </w:rPr>
              <w:t xml:space="preserve">to </w:t>
            </w:r>
            <w:proofErr w:type="spellStart"/>
            <w:r w:rsidR="00523A9E" w:rsidRPr="000F708C">
              <w:rPr>
                <w:rFonts w:ascii="Arial" w:hAnsi="Arial" w:cs="Arial"/>
                <w:sz w:val="18"/>
                <w:szCs w:val="18"/>
              </w:rPr>
              <w:t>understand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="00523A9E" w:rsidRPr="000F708C">
              <w:rPr>
                <w:rFonts w:ascii="Arial" w:hAnsi="Arial" w:cs="Arial"/>
                <w:sz w:val="18"/>
                <w:szCs w:val="18"/>
              </w:rPr>
              <w:t>basisi</w:t>
            </w:r>
            <w:proofErr w:type="spellEnd"/>
            <w:r w:rsidR="00523A9E"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708C">
              <w:rPr>
                <w:rFonts w:ascii="Arial" w:hAnsi="Arial" w:cs="Arial"/>
                <w:sz w:val="18"/>
                <w:szCs w:val="18"/>
              </w:rPr>
              <w:t xml:space="preserve">to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deepen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even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independently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knowledge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main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management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issues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they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arise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modern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dynamic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business reality.</w:t>
            </w:r>
          </w:p>
        </w:tc>
      </w:tr>
      <w:tr w:rsidR="000F708C" w:rsidRPr="000F708C">
        <w:tc>
          <w:tcPr>
            <w:tcW w:w="1699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lastRenderedPageBreak/>
              <w:t>Prerequisiti</w:t>
            </w:r>
            <w:proofErr w:type="spellEnd"/>
          </w:p>
        </w:tc>
        <w:tc>
          <w:tcPr>
            <w:tcW w:w="1840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PREREQ</w:t>
            </w:r>
          </w:p>
        </w:tc>
        <w:tc>
          <w:tcPr>
            <w:tcW w:w="1248" w:type="dxa"/>
          </w:tcPr>
          <w:p w:rsidR="00B56432" w:rsidRPr="000F708C" w:rsidRDefault="00B56432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53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</w:rPr>
              <w:t>Sì</w:t>
            </w:r>
            <w:proofErr w:type="spellEnd"/>
          </w:p>
        </w:tc>
        <w:tc>
          <w:tcPr>
            <w:tcW w:w="4348" w:type="dxa"/>
          </w:tcPr>
          <w:p w:rsidR="00B56432" w:rsidRPr="000F708C" w:rsidRDefault="009474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Lo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studente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dovrà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aver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acquisito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conoscenze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di base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dell’economia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aziendale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in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particolare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relative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alla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struttura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del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bilancio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d’esercizio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4336" w:type="dxa"/>
          </w:tcPr>
          <w:p w:rsidR="00B56432" w:rsidRPr="000F708C" w:rsidRDefault="00B4120F" w:rsidP="00B4120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The student should have understood the basic knowledge of business economics, particularly related to the structure of financial statements.</w:t>
            </w:r>
          </w:p>
        </w:tc>
      </w:tr>
      <w:tr w:rsidR="000F708C" w:rsidRPr="000F708C">
        <w:tc>
          <w:tcPr>
            <w:tcW w:w="1699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Contenuti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del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corso</w:t>
            </w:r>
            <w:proofErr w:type="spellEnd"/>
          </w:p>
        </w:tc>
        <w:tc>
          <w:tcPr>
            <w:tcW w:w="1840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CONTENUTI</w:t>
            </w:r>
          </w:p>
        </w:tc>
        <w:tc>
          <w:tcPr>
            <w:tcW w:w="1248" w:type="dxa"/>
          </w:tcPr>
          <w:p w:rsidR="00B56432" w:rsidRPr="000F708C" w:rsidRDefault="00B56432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53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</w:rPr>
              <w:t>Sì</w:t>
            </w:r>
            <w:proofErr w:type="spellEnd"/>
          </w:p>
        </w:tc>
        <w:tc>
          <w:tcPr>
            <w:tcW w:w="4348" w:type="dxa"/>
          </w:tcPr>
          <w:p w:rsidR="008F74E1" w:rsidRPr="000F708C" w:rsidRDefault="008F74E1" w:rsidP="00FA5F6C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it-IT" w:eastAsia="it-IT"/>
              </w:rPr>
            </w:pP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L’impresa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suo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ruolo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economico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social</w:t>
            </w:r>
            <w:r w:rsidR="00FA5F6C" w:rsidRPr="000F708C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</w:p>
          <w:p w:rsidR="008F74E1" w:rsidRPr="000F708C" w:rsidRDefault="008F74E1" w:rsidP="00FA5F6C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it-IT" w:eastAsia="it-IT"/>
              </w:rPr>
            </w:pP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L’interdipendenza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tra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l’impresa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contesto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socio-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economico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>: micro e macro-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ambiente</w:t>
            </w:r>
            <w:proofErr w:type="spellEnd"/>
          </w:p>
          <w:p w:rsidR="008F74E1" w:rsidRPr="000F708C" w:rsidRDefault="008F74E1" w:rsidP="00FA5F6C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I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partecipanti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alla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vita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dell’impresa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l’imprenditore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gli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«stakeholder»</w:t>
            </w:r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e le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teorie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sulle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finalità</w:t>
            </w:r>
            <w:proofErr w:type="spellEnd"/>
            <w:r w:rsidR="00556E21"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56E21" w:rsidRPr="000F708C">
              <w:rPr>
                <w:rFonts w:ascii="Arial" w:hAnsi="Arial" w:cs="Arial"/>
                <w:sz w:val="18"/>
                <w:szCs w:val="18"/>
              </w:rPr>
              <w:t>imprenditoriali</w:t>
            </w:r>
            <w:proofErr w:type="spellEnd"/>
          </w:p>
          <w:p w:rsidR="008F74E1" w:rsidRPr="000F708C" w:rsidRDefault="008F74E1" w:rsidP="00FA5F6C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gestione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strategica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dell’impresa</w:t>
            </w:r>
            <w:proofErr w:type="spellEnd"/>
          </w:p>
          <w:p w:rsidR="008F74E1" w:rsidRPr="000F708C" w:rsidRDefault="008F74E1" w:rsidP="00FA5F6C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Le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strategie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competitive 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modelli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analisi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mercato</w:t>
            </w:r>
            <w:proofErr w:type="spellEnd"/>
          </w:p>
          <w:p w:rsidR="008F74E1" w:rsidRPr="000F708C" w:rsidRDefault="008F74E1" w:rsidP="00FA5F6C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Le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strategie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sviluppo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dimensionale</w:t>
            </w:r>
            <w:proofErr w:type="spellEnd"/>
          </w:p>
          <w:p w:rsidR="008F74E1" w:rsidRPr="000F708C" w:rsidRDefault="008F74E1" w:rsidP="00FA5F6C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lastRenderedPageBreak/>
              <w:t xml:space="preserve">Il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processo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direzione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l’organizzazione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dell’impresa</w:t>
            </w:r>
            <w:proofErr w:type="spellEnd"/>
          </w:p>
          <w:p w:rsidR="008F74E1" w:rsidRPr="000F708C" w:rsidRDefault="008F74E1" w:rsidP="00FA5F6C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programmazione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strategica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operativa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della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gestione</w:t>
            </w:r>
            <w:proofErr w:type="spellEnd"/>
          </w:p>
          <w:p w:rsidR="008F74E1" w:rsidRPr="000F708C" w:rsidRDefault="008F74E1" w:rsidP="00FA5F6C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funzione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direzione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delle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risorse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umane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e la «leadership»</w:t>
            </w:r>
          </w:p>
          <w:p w:rsidR="008F74E1" w:rsidRPr="000F708C" w:rsidRDefault="008F74E1" w:rsidP="00FA5F6C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gestione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commerciale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nell’ottica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del marke</w:t>
            </w:r>
            <w:r w:rsidR="00FA5F6C" w:rsidRPr="000F708C">
              <w:rPr>
                <w:rFonts w:ascii="Arial" w:hAnsi="Arial" w:cs="Arial"/>
                <w:sz w:val="18"/>
                <w:szCs w:val="18"/>
              </w:rPr>
              <w:t>ting</w:t>
            </w:r>
          </w:p>
          <w:p w:rsidR="008F74E1" w:rsidRPr="000F708C" w:rsidRDefault="008F74E1" w:rsidP="00FA5F6C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gestione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della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finanza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aspetti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strategici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e operative</w:t>
            </w:r>
          </w:p>
          <w:p w:rsidR="008F74E1" w:rsidRPr="000F708C" w:rsidRDefault="008F74E1" w:rsidP="00FA5F6C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Gli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approvvigionamenti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processo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logistico</w:t>
            </w:r>
            <w:proofErr w:type="spellEnd"/>
          </w:p>
          <w:p w:rsidR="008F74E1" w:rsidRPr="000F708C" w:rsidRDefault="008F74E1" w:rsidP="00FA5F6C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programmazione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controllo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finanziario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e la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valutazione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degli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investimenti</w:t>
            </w:r>
            <w:proofErr w:type="spellEnd"/>
          </w:p>
          <w:p w:rsidR="008F74E1" w:rsidRPr="000F708C" w:rsidRDefault="00FA5F6C" w:rsidP="00FA5F6C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misurazione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della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potenzialità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economico-strutturale</w:t>
            </w:r>
            <w:proofErr w:type="spellEnd"/>
          </w:p>
          <w:p w:rsidR="00FA5F6C" w:rsidRPr="000F708C" w:rsidRDefault="00FA5F6C" w:rsidP="00FA5F6C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programmazione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controllo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delle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scorte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magazzino</w:t>
            </w:r>
            <w:proofErr w:type="spellEnd"/>
          </w:p>
          <w:p w:rsidR="00FA5F6C" w:rsidRPr="000F708C" w:rsidRDefault="00FA5F6C" w:rsidP="00FA5F6C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valutazione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dell’efficienza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della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gestione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aziendale</w:t>
            </w:r>
            <w:proofErr w:type="spellEnd"/>
          </w:p>
          <w:p w:rsidR="00B56432" w:rsidRPr="000F708C" w:rsidRDefault="00FA5F6C" w:rsidP="00947422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misurazione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della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«performance»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sociale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nella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prospettiva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valore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allargato</w:t>
            </w:r>
            <w:proofErr w:type="spellEnd"/>
          </w:p>
        </w:tc>
        <w:tc>
          <w:tcPr>
            <w:tcW w:w="4336" w:type="dxa"/>
          </w:tcPr>
          <w:p w:rsidR="00B4120F" w:rsidRPr="000F708C" w:rsidRDefault="00B4120F" w:rsidP="00B4120F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lastRenderedPageBreak/>
              <w:t>The firm and its economic and social role</w:t>
            </w:r>
          </w:p>
          <w:p w:rsidR="00B4120F" w:rsidRPr="000F708C" w:rsidRDefault="00B4120F" w:rsidP="00B4120F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>The interdependence between the enterprise and the socio-economic context</w:t>
            </w:r>
          </w:p>
          <w:p w:rsidR="00B4120F" w:rsidRPr="000F708C" w:rsidRDefault="00B4120F" w:rsidP="00B4120F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>The stakeholders and the theories of entrepreneurial purpose</w:t>
            </w:r>
          </w:p>
          <w:p w:rsidR="00B4120F" w:rsidRPr="000F708C" w:rsidRDefault="00B4120F" w:rsidP="00BD37C6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The strategic management </w:t>
            </w:r>
          </w:p>
          <w:p w:rsidR="00B4120F" w:rsidRPr="000F708C" w:rsidRDefault="00B4120F" w:rsidP="00BD37C6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The competitive and corporate strategies </w:t>
            </w:r>
          </w:p>
          <w:p w:rsidR="00B4120F" w:rsidRPr="000F708C" w:rsidRDefault="00B4120F" w:rsidP="00A80792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The organizational models </w:t>
            </w:r>
          </w:p>
          <w:p w:rsidR="00B4120F" w:rsidRPr="000F708C" w:rsidRDefault="00B4120F" w:rsidP="00A80792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>Strategic and operational management planning</w:t>
            </w:r>
          </w:p>
          <w:p w:rsidR="00B4120F" w:rsidRPr="000F708C" w:rsidRDefault="00B4120F" w:rsidP="00D31121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Human resources management </w:t>
            </w:r>
          </w:p>
          <w:p w:rsidR="00B4120F" w:rsidRPr="000F708C" w:rsidRDefault="00B4120F" w:rsidP="00D31121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Marketing management </w:t>
            </w:r>
          </w:p>
          <w:p w:rsidR="00B4120F" w:rsidRPr="000F708C" w:rsidRDefault="00B4120F" w:rsidP="005C083C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Financial management </w:t>
            </w:r>
          </w:p>
          <w:p w:rsidR="00B4120F" w:rsidRPr="000F708C" w:rsidRDefault="00B4120F" w:rsidP="005C083C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lastRenderedPageBreak/>
              <w:t xml:space="preserve">The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</w:rPr>
              <w:t>supplyings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</w:rPr>
              <w:t xml:space="preserve"> and the logistic process</w:t>
            </w:r>
          </w:p>
          <w:p w:rsidR="00B4120F" w:rsidRPr="000F708C" w:rsidRDefault="00B4120F" w:rsidP="00B4120F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The planning, the financial control </w:t>
            </w:r>
          </w:p>
          <w:p w:rsidR="00B56432" w:rsidRPr="000F708C" w:rsidRDefault="00B4120F" w:rsidP="002E2FC1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2E2FC1" w:rsidRPr="000F708C">
              <w:rPr>
                <w:rFonts w:ascii="Arial" w:hAnsi="Arial" w:cs="Arial"/>
                <w:sz w:val="18"/>
                <w:szCs w:val="18"/>
              </w:rPr>
              <w:t xml:space="preserve">performance </w:t>
            </w:r>
            <w:r w:rsidRPr="000F708C">
              <w:rPr>
                <w:rFonts w:ascii="Arial" w:hAnsi="Arial" w:cs="Arial"/>
                <w:sz w:val="18"/>
                <w:szCs w:val="18"/>
              </w:rPr>
              <w:t xml:space="preserve">evaluation </w:t>
            </w:r>
          </w:p>
        </w:tc>
      </w:tr>
      <w:tr w:rsidR="000F708C" w:rsidRPr="000F708C">
        <w:tc>
          <w:tcPr>
            <w:tcW w:w="1699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lastRenderedPageBreak/>
              <w:t>Programma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esteso</w:t>
            </w:r>
            <w:proofErr w:type="spellEnd"/>
          </w:p>
        </w:tc>
        <w:tc>
          <w:tcPr>
            <w:tcW w:w="1840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PROGR_EST</w:t>
            </w:r>
          </w:p>
        </w:tc>
        <w:tc>
          <w:tcPr>
            <w:tcW w:w="1248" w:type="dxa"/>
          </w:tcPr>
          <w:p w:rsidR="00B56432" w:rsidRPr="000F708C" w:rsidRDefault="00B56432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53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4348" w:type="dxa"/>
          </w:tcPr>
          <w:p w:rsidR="000F708C" w:rsidRPr="000F708C" w:rsidRDefault="000F708C" w:rsidP="000F708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L’impresa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suo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ruolo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economico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sociale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L’impresa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le sue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funzioni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L’impresa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quale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sistema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</w:t>
            </w:r>
          </w:p>
          <w:p w:rsidR="000F708C" w:rsidRPr="000F708C" w:rsidRDefault="000F708C" w:rsidP="000F708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rapporti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tra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l’impresa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l’ambiente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socio-economico</w:t>
            </w:r>
            <w:proofErr w:type="gram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:I</w:t>
            </w:r>
            <w:proofErr w:type="spellEnd"/>
            <w:proofErr w:type="gram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concetti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“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ambiente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” e “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mercato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”. Micro-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ambiente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macro-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ambiente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Scelte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“make” or “buy” 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delimitazione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confini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efficienti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protagonisti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nella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vita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dell’impresa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Imprenditorialità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managerialità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La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teoria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degli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stakeholder e le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principali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teorie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sulle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finalità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imprenditoriali</w:t>
            </w:r>
            <w:proofErr w:type="spellEnd"/>
          </w:p>
          <w:p w:rsidR="000F708C" w:rsidRPr="000F708C" w:rsidRDefault="000F708C" w:rsidP="000F708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Orientamento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strategico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gestione</w:t>
            </w:r>
            <w:proofErr w:type="gram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:Analisi</w:t>
            </w:r>
            <w:proofErr w:type="spellEnd"/>
            <w:proofErr w:type="gram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settore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teoria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concorrenza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allargata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Le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fonti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vantaggio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competitivo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Resource-based view e VRIO analysis. Catena del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valore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Porter. Le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strategie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competitive. Le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strategie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complessive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sviluppo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dimensionale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Integrazione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orizzontale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Integrazione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verticale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Diversificazione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Strategie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espansione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internazionale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Modalità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attuazione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strategie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sviluppo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</w:p>
          <w:p w:rsidR="000F708C" w:rsidRPr="000F708C" w:rsidRDefault="000F708C" w:rsidP="000F708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 “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ciclo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direzione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” 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problemi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organizzativi</w:t>
            </w:r>
            <w:proofErr w:type="gram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:Il</w:t>
            </w:r>
            <w:proofErr w:type="spellEnd"/>
            <w:proofErr w:type="gram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processo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direzione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aziendale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La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funzione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organizzativa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L’organigramma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principali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modelli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struttura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organizzativa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</w:p>
          <w:p w:rsidR="000F708C" w:rsidRPr="000F708C" w:rsidRDefault="000F708C" w:rsidP="000F708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programmazione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controllo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La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programmazione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strategica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operativa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La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funzione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controllo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Il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controllo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concomitante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susseguente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Valutazioni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efficacia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efficienza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Il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controllo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strategico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</w:p>
          <w:p w:rsidR="000F708C" w:rsidRPr="000F708C" w:rsidRDefault="000F708C" w:rsidP="000F708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funzione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conduzione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personale</w:t>
            </w:r>
            <w:proofErr w:type="gram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:I</w:t>
            </w:r>
            <w:proofErr w:type="spellEnd"/>
            <w:proofErr w:type="gram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problemi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motivazione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Gli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stili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direzione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Da Taylor a Mayo. Le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teorie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Maslow, Hertzberg e McGregor. La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motivazione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personale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mediante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analisi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arricchimento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mansioni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</w:p>
          <w:p w:rsidR="000F708C" w:rsidRPr="000F708C" w:rsidRDefault="000F708C" w:rsidP="000F708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funzione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Marketing</w:t>
            </w:r>
            <w:proofErr w:type="gram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:Il</w:t>
            </w:r>
            <w:proofErr w:type="spellEnd"/>
            <w:proofErr w:type="gram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concetto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marketing. Le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politiche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marketing (4 P). La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segmentazione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la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scelta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del market-target. La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politica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prodotto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scelte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gamma,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posizionamento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matrice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BCG,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matrice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GE,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marca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packaging. La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politica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prezzo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variabili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-base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che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influenzano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pricing,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elasticità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incrociata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domanda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politica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penetrazione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scrematura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La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politica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promozionale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La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politica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distribuzione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commerciale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canale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distributivo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intensità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copertura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distributiva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quota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numerica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ponderata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Marketing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relazionale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customer life-time value. </w:t>
            </w:r>
          </w:p>
          <w:p w:rsidR="000F708C" w:rsidRPr="000F708C" w:rsidRDefault="000F708C" w:rsidP="000F708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gestione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finanza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tra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ciclo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economico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finanziario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produttivo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Il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fabbisogno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finanziario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capitale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fisso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circolante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Le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scelte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struttura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finanziaria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le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fonti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finanziamento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La leva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finanziaria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Il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prospetto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Fonti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degli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Impieghi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metodi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valutazione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investimento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</w:p>
          <w:p w:rsidR="000F708C" w:rsidRPr="000F708C" w:rsidRDefault="000F708C" w:rsidP="000F708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processo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logistico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La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logistica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quale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processo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La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funzione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Approvvigionamento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La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matrice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Kraljic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</w:p>
          <w:p w:rsidR="00B56432" w:rsidRPr="000F708C" w:rsidRDefault="000F708C" w:rsidP="000F708C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Tecniche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gestione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applicazioni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aziendali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Misurazione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potenzialità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economico-strutturale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diagramma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redditività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Valutazione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investimento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Tecniche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programmazione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controllo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scorte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Business plan.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Indici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redditività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di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valutazione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della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situazione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finanziaria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Balanced scorecard.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Analisi</w:t>
            </w:r>
            <w:proofErr w:type="spellEnd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Swot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4336" w:type="dxa"/>
          </w:tcPr>
          <w:p w:rsidR="00B56432" w:rsidRPr="000F708C" w:rsidRDefault="00B5643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F708C" w:rsidRPr="000F708C">
        <w:tc>
          <w:tcPr>
            <w:tcW w:w="1699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lastRenderedPageBreak/>
              <w:t>Metodi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didattici</w:t>
            </w:r>
            <w:proofErr w:type="spellEnd"/>
          </w:p>
        </w:tc>
        <w:tc>
          <w:tcPr>
            <w:tcW w:w="1840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METODI_DID</w:t>
            </w:r>
          </w:p>
        </w:tc>
        <w:tc>
          <w:tcPr>
            <w:tcW w:w="1248" w:type="dxa"/>
          </w:tcPr>
          <w:p w:rsidR="00B56432" w:rsidRPr="000F708C" w:rsidRDefault="00B56432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53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</w:rPr>
              <w:t>Sì</w:t>
            </w:r>
            <w:proofErr w:type="spellEnd"/>
          </w:p>
        </w:tc>
        <w:tc>
          <w:tcPr>
            <w:tcW w:w="4348" w:type="dxa"/>
          </w:tcPr>
          <w:p w:rsidR="00C27EA4" w:rsidRPr="000F708C" w:rsidRDefault="00947422" w:rsidP="00A542D9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Il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corso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prevede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A542D9"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48 </w:t>
            </w:r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ore di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didattica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in aula,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distribuite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tra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lezioni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frontali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esercizi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analisi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casi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(project work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individuali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e di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gruppo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). </w:t>
            </w:r>
          </w:p>
          <w:p w:rsidR="00B56432" w:rsidRPr="000F708C" w:rsidRDefault="00947422" w:rsidP="00A542D9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Esercizi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e project work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potranno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essere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completati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anche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a casa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dai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partecipanti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e,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successivamente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discussi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in aula.</w:t>
            </w:r>
          </w:p>
        </w:tc>
        <w:tc>
          <w:tcPr>
            <w:tcW w:w="4336" w:type="dxa"/>
          </w:tcPr>
          <w:p w:rsidR="00B56432" w:rsidRPr="000F708C" w:rsidRDefault="002E2FC1" w:rsidP="002E2FC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708C">
              <w:rPr>
                <w:rFonts w:ascii="Arial" w:eastAsia="Times New Roman" w:hAnsi="Arial" w:cs="Arial"/>
                <w:sz w:val="18"/>
                <w:szCs w:val="18"/>
              </w:rPr>
              <w:t xml:space="preserve">The course includes 48 hours of classroom teaching, distributed between lectures, exercises and case analysis (individual and group project work). </w:t>
            </w:r>
          </w:p>
        </w:tc>
      </w:tr>
      <w:tr w:rsidR="000F708C" w:rsidRPr="000F708C">
        <w:tc>
          <w:tcPr>
            <w:tcW w:w="1699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Modalità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verifica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dell'apprendimento</w:t>
            </w:r>
            <w:proofErr w:type="spellEnd"/>
          </w:p>
        </w:tc>
        <w:tc>
          <w:tcPr>
            <w:tcW w:w="1840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MOD_VER_APPR</w:t>
            </w:r>
          </w:p>
        </w:tc>
        <w:tc>
          <w:tcPr>
            <w:tcW w:w="1248" w:type="dxa"/>
          </w:tcPr>
          <w:p w:rsidR="00B56432" w:rsidRPr="000F708C" w:rsidRDefault="00B56432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53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</w:rPr>
              <w:t>Sì</w:t>
            </w:r>
            <w:proofErr w:type="spellEnd"/>
          </w:p>
        </w:tc>
        <w:tc>
          <w:tcPr>
            <w:tcW w:w="4348" w:type="dxa"/>
          </w:tcPr>
          <w:p w:rsidR="00947422" w:rsidRPr="000F708C" w:rsidRDefault="00C27EA4" w:rsidP="009474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  <w:r w:rsidRPr="000F708C"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  <w:t>L</w:t>
            </w:r>
            <w:r w:rsidR="00947422" w:rsidRPr="000F708C"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  <w:t xml:space="preserve">a verifica dei risultati di apprendimento conseguiti viene effettuata mediante prova </w:t>
            </w:r>
            <w:r w:rsidRPr="000F708C"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  <w:t xml:space="preserve">orale. </w:t>
            </w:r>
          </w:p>
          <w:p w:rsidR="00C27EA4" w:rsidRPr="000F708C" w:rsidRDefault="00C27EA4" w:rsidP="009474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</w:p>
          <w:p w:rsidR="00947422" w:rsidRPr="000F708C" w:rsidRDefault="00947422" w:rsidP="009474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  <w:r w:rsidRPr="000F708C"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  <w:t>Per sostenere l'esame è indispensabile prenotarsi mediante il sistema Esse3 ed esibire un valido documento di identità. A fine corso è prevista una prova di auto-verifica delle conoscenze acquisite.</w:t>
            </w:r>
          </w:p>
          <w:p w:rsidR="00B56432" w:rsidRPr="000F708C" w:rsidRDefault="00B5643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6" w:type="dxa"/>
          </w:tcPr>
          <w:p w:rsidR="00B56432" w:rsidRPr="000F708C" w:rsidRDefault="002E2FC1" w:rsidP="002E2FC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708C">
              <w:rPr>
                <w:rFonts w:ascii="Arial" w:eastAsia="Times New Roman" w:hAnsi="Arial" w:cs="Arial"/>
                <w:sz w:val="18"/>
                <w:szCs w:val="18"/>
              </w:rPr>
              <w:t>The exam is carried out by an oral test.</w:t>
            </w:r>
          </w:p>
        </w:tc>
      </w:tr>
      <w:tr w:rsidR="000F708C" w:rsidRPr="000F708C">
        <w:tc>
          <w:tcPr>
            <w:tcW w:w="1699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Testi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riferimento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e di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lastRenderedPageBreak/>
              <w:t>approfondimento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,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materiale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didattico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Online</w:t>
            </w:r>
          </w:p>
        </w:tc>
        <w:tc>
          <w:tcPr>
            <w:tcW w:w="1840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lastRenderedPageBreak/>
              <w:t>TESTI_RIF</w:t>
            </w:r>
          </w:p>
        </w:tc>
        <w:tc>
          <w:tcPr>
            <w:tcW w:w="1248" w:type="dxa"/>
          </w:tcPr>
          <w:p w:rsidR="00B56432" w:rsidRPr="000F708C" w:rsidRDefault="00B56432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53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</w:rPr>
              <w:t>Sì</w:t>
            </w:r>
            <w:proofErr w:type="spellEnd"/>
          </w:p>
        </w:tc>
        <w:tc>
          <w:tcPr>
            <w:tcW w:w="4348" w:type="dxa"/>
          </w:tcPr>
          <w:p w:rsidR="00B56432" w:rsidRPr="000F708C" w:rsidRDefault="00C27EA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Sciarelli, S. (2020). </w:t>
            </w:r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 xml:space="preserve">La </w:t>
            </w:r>
            <w:proofErr w:type="spellStart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>gestione</w:t>
            </w:r>
            <w:proofErr w:type="spellEnd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>dell'impresa</w:t>
            </w:r>
            <w:proofErr w:type="spellEnd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>tra</w:t>
            </w:r>
            <w:proofErr w:type="spellEnd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>teoria</w:t>
            </w:r>
            <w:proofErr w:type="spellEnd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 xml:space="preserve"> e </w:t>
            </w:r>
            <w:proofErr w:type="spellStart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>pratica</w:t>
            </w:r>
            <w:proofErr w:type="spellEnd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>aziendale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Wolters Kluwer.</w:t>
            </w:r>
            <w:r w:rsidR="000E508B"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11° </w:t>
            </w:r>
            <w:proofErr w:type="spellStart"/>
            <w:r w:rsidR="000E508B"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edizione</w:t>
            </w:r>
            <w:proofErr w:type="spellEnd"/>
            <w:r w:rsidR="000E508B"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4336" w:type="dxa"/>
          </w:tcPr>
          <w:p w:rsidR="00B56432" w:rsidRPr="000F708C" w:rsidRDefault="002E2FC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Sciarelli, S. (2020). </w:t>
            </w:r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 xml:space="preserve">La </w:t>
            </w:r>
            <w:proofErr w:type="spellStart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>gestione</w:t>
            </w:r>
            <w:proofErr w:type="spellEnd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>dell'impresa</w:t>
            </w:r>
            <w:proofErr w:type="spellEnd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>tra</w:t>
            </w:r>
            <w:proofErr w:type="spellEnd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>teoria</w:t>
            </w:r>
            <w:proofErr w:type="spellEnd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 xml:space="preserve"> e </w:t>
            </w:r>
            <w:proofErr w:type="spellStart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>pratica</w:t>
            </w:r>
            <w:proofErr w:type="spellEnd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>aziendale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Wolters Kluwer. 11°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edizione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0F708C" w:rsidRPr="000F708C">
        <w:tc>
          <w:tcPr>
            <w:tcW w:w="1699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Metodi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e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modalità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gestione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dei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rapporti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con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gli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studenti</w:t>
            </w:r>
            <w:proofErr w:type="spellEnd"/>
          </w:p>
        </w:tc>
        <w:tc>
          <w:tcPr>
            <w:tcW w:w="1840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GEST_RAP_STUD</w:t>
            </w:r>
          </w:p>
        </w:tc>
        <w:tc>
          <w:tcPr>
            <w:tcW w:w="1248" w:type="dxa"/>
          </w:tcPr>
          <w:p w:rsidR="00B56432" w:rsidRPr="000F708C" w:rsidRDefault="00B56432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53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</w:rPr>
              <w:t>Sì</w:t>
            </w:r>
            <w:proofErr w:type="spellEnd"/>
          </w:p>
        </w:tc>
        <w:tc>
          <w:tcPr>
            <w:tcW w:w="4348" w:type="dxa"/>
          </w:tcPr>
          <w:p w:rsidR="000E508B" w:rsidRPr="000F708C" w:rsidRDefault="00C27EA4" w:rsidP="00C27EA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Il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docente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47422"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interagisce</w:t>
            </w:r>
            <w:proofErr w:type="spellEnd"/>
            <w:r w:rsidR="00947422"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47422"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abitualmente</w:t>
            </w:r>
            <w:proofErr w:type="spellEnd"/>
            <w:r w:rsidR="00947422"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con </w:t>
            </w:r>
            <w:proofErr w:type="spellStart"/>
            <w:r w:rsidR="00947422"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gli</w:t>
            </w:r>
            <w:proofErr w:type="spellEnd"/>
            <w:r w:rsidR="00947422"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47422"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studenti</w:t>
            </w:r>
            <w:proofErr w:type="spellEnd"/>
            <w:r w:rsidR="00947422"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47422"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mediante</w:t>
            </w:r>
            <w:proofErr w:type="spellEnd"/>
            <w:r w:rsidR="00947422"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47422"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posta</w:t>
            </w:r>
            <w:proofErr w:type="spellEnd"/>
            <w:r w:rsidR="00947422"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47422"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elettronica</w:t>
            </w:r>
            <w:proofErr w:type="spellEnd"/>
            <w:r w:rsidR="00947422"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</w:t>
            </w:r>
            <w:r w:rsidR="00DD68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vavecchi@unina.it</w:t>
            </w:r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).</w:t>
            </w:r>
          </w:p>
          <w:p w:rsidR="00C27EA4" w:rsidRPr="000F708C" w:rsidRDefault="00947422" w:rsidP="00C27EA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Gli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studenti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sono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invitati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</w:t>
            </w:r>
            <w:proofErr w:type="gram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utilizzare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sempre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la mail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istituzionale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comunicare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con </w:t>
            </w:r>
            <w:proofErr w:type="spellStart"/>
            <w:r w:rsidR="00DD68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il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docente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C27EA4" w:rsidRPr="000F708C" w:rsidRDefault="00947422" w:rsidP="00C27EA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Si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ricorda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inoltre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che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informazioni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relative al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programma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all’articolazione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della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prova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esame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fa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fede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presente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scheda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 </w:t>
            </w:r>
          </w:p>
          <w:p w:rsidR="00B56432" w:rsidRPr="000F708C" w:rsidRDefault="00947422" w:rsidP="00C27EA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Eventuali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dubbi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possono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essere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chiariti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anche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al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termine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della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lezione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 </w:t>
            </w:r>
          </w:p>
        </w:tc>
        <w:tc>
          <w:tcPr>
            <w:tcW w:w="4336" w:type="dxa"/>
          </w:tcPr>
          <w:p w:rsidR="00B56432" w:rsidRPr="000F708C" w:rsidRDefault="002E2FC1">
            <w:pPr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</w:pPr>
            <w:r w:rsidRPr="000F708C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 xml:space="preserve">For further information contact the teacher at the following address: </w:t>
            </w:r>
          </w:p>
          <w:p w:rsidR="002E2FC1" w:rsidRPr="000F708C" w:rsidRDefault="00DD68C8">
            <w:pPr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vavecchi@unina.it</w:t>
            </w:r>
          </w:p>
        </w:tc>
      </w:tr>
      <w:tr w:rsidR="000F708C" w:rsidRPr="000F708C" w:rsidTr="00CA7F58">
        <w:tc>
          <w:tcPr>
            <w:tcW w:w="1699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Date di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esame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previste</w:t>
            </w:r>
            <w:proofErr w:type="spellEnd"/>
          </w:p>
        </w:tc>
        <w:tc>
          <w:tcPr>
            <w:tcW w:w="1840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DATE_ESAMI</w:t>
            </w:r>
          </w:p>
        </w:tc>
        <w:tc>
          <w:tcPr>
            <w:tcW w:w="1248" w:type="dxa"/>
          </w:tcPr>
          <w:p w:rsidR="00B56432" w:rsidRPr="000F708C" w:rsidRDefault="00B56432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53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</w:rPr>
              <w:t>Sì</w:t>
            </w:r>
            <w:proofErr w:type="spellEnd"/>
          </w:p>
        </w:tc>
        <w:tc>
          <w:tcPr>
            <w:tcW w:w="4348" w:type="dxa"/>
            <w:shd w:val="clear" w:color="auto" w:fill="FFFFFF" w:themeFill="background1"/>
          </w:tcPr>
          <w:p w:rsidR="00B56432" w:rsidRPr="000F708C" w:rsidRDefault="00B56432" w:rsidP="00CA7F58">
            <w:pPr>
              <w:pStyle w:val="Paragrafoelenco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  <w:bookmarkStart w:id="0" w:name="_GoBack"/>
            <w:bookmarkEnd w:id="0"/>
          </w:p>
        </w:tc>
        <w:tc>
          <w:tcPr>
            <w:tcW w:w="4336" w:type="dxa"/>
          </w:tcPr>
          <w:p w:rsidR="00B56432" w:rsidRPr="000F708C" w:rsidRDefault="00B5643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F708C" w:rsidRPr="000F708C">
        <w:tc>
          <w:tcPr>
            <w:tcW w:w="1699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Seminari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di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esperti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esterni</w:t>
            </w:r>
            <w:proofErr w:type="spellEnd"/>
          </w:p>
        </w:tc>
        <w:tc>
          <w:tcPr>
            <w:tcW w:w="1840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SEM_ESP_EST</w:t>
            </w:r>
          </w:p>
        </w:tc>
        <w:tc>
          <w:tcPr>
            <w:tcW w:w="1248" w:type="dxa"/>
          </w:tcPr>
          <w:p w:rsidR="00B56432" w:rsidRPr="000F708C" w:rsidRDefault="00B56432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53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</w:rPr>
              <w:t>Sì</w:t>
            </w:r>
            <w:proofErr w:type="spellEnd"/>
          </w:p>
        </w:tc>
        <w:tc>
          <w:tcPr>
            <w:tcW w:w="4348" w:type="dxa"/>
          </w:tcPr>
          <w:p w:rsidR="00B56432" w:rsidRPr="000F708C" w:rsidRDefault="00947422" w:rsidP="009474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Sono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previste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testimonianze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imprenditoriali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che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devono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necessariamente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essere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programmate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su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date collocate in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prossimità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della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fine del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corso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quando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l’aula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abbia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raggiunto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un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sufficiente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livello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familiarità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con le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tematiche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connesse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alla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gestione</w:t>
            </w:r>
            <w:proofErr w:type="spellEnd"/>
            <w:r w:rsidRPr="000F708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di impresa. </w:t>
            </w:r>
          </w:p>
        </w:tc>
        <w:tc>
          <w:tcPr>
            <w:tcW w:w="4336" w:type="dxa"/>
          </w:tcPr>
          <w:p w:rsidR="00B56432" w:rsidRPr="000F708C" w:rsidRDefault="002E2FC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708C">
              <w:rPr>
                <w:rFonts w:ascii="Arial" w:eastAsia="Times New Roman" w:hAnsi="Arial" w:cs="Arial"/>
                <w:sz w:val="18"/>
                <w:szCs w:val="18"/>
              </w:rPr>
              <w:t>Entrepreneurial testimonials are planned</w:t>
            </w:r>
          </w:p>
        </w:tc>
      </w:tr>
      <w:tr w:rsidR="000F708C" w:rsidRPr="000F708C">
        <w:tc>
          <w:tcPr>
            <w:tcW w:w="1699" w:type="dxa"/>
            <w:shd w:val="clear" w:color="auto" w:fill="F2F2F2" w:themeFill="background1" w:themeFillShade="F2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Altre</w:t>
            </w:r>
            <w:proofErr w:type="spellEnd"/>
            <w:r w:rsidRPr="000F708C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 w:rsidRPr="000F708C">
              <w:rPr>
                <w:rFonts w:ascii="Arial" w:eastAsia="Times New Roman" w:hAnsi="Arial" w:cs="Times New Roman"/>
                <w:b/>
                <w:bCs/>
              </w:rPr>
              <w:t>informazioni</w:t>
            </w:r>
            <w:proofErr w:type="spellEnd"/>
          </w:p>
        </w:tc>
        <w:tc>
          <w:tcPr>
            <w:tcW w:w="1840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ALTRO</w:t>
            </w:r>
          </w:p>
        </w:tc>
        <w:tc>
          <w:tcPr>
            <w:tcW w:w="1248" w:type="dxa"/>
          </w:tcPr>
          <w:p w:rsidR="00B56432" w:rsidRPr="000F708C" w:rsidRDefault="00B56432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533" w:type="dxa"/>
          </w:tcPr>
          <w:p w:rsidR="00B56432" w:rsidRPr="000F708C" w:rsidRDefault="00FA5F6C">
            <w:pPr>
              <w:rPr>
                <w:rFonts w:ascii="Arial" w:eastAsia="Times New Roman" w:hAnsi="Arial" w:cs="Times New Roman"/>
              </w:rPr>
            </w:pPr>
            <w:r w:rsidRPr="000F708C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4348" w:type="dxa"/>
          </w:tcPr>
          <w:p w:rsidR="00B56432" w:rsidRPr="000F708C" w:rsidRDefault="00B56432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4336" w:type="dxa"/>
          </w:tcPr>
          <w:p w:rsidR="00B56432" w:rsidRPr="000F708C" w:rsidRDefault="00B56432">
            <w:pPr>
              <w:rPr>
                <w:rFonts w:ascii="Arial" w:eastAsia="Times New Roman" w:hAnsi="Arial" w:cs="Times New Roman"/>
              </w:rPr>
            </w:pPr>
          </w:p>
        </w:tc>
      </w:tr>
    </w:tbl>
    <w:p w:rsidR="00947422" w:rsidRPr="000F708C" w:rsidRDefault="00947422"/>
    <w:sectPr w:rsidR="00947422" w:rsidRPr="000F708C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1AC"/>
    <w:multiLevelType w:val="multilevel"/>
    <w:tmpl w:val="2FBE1BF2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1" w15:restartNumberingAfterBreak="0">
    <w:nsid w:val="0897303C"/>
    <w:multiLevelType w:val="multilevel"/>
    <w:tmpl w:val="7548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05DBC"/>
    <w:multiLevelType w:val="multilevel"/>
    <w:tmpl w:val="8020CC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1B43EB2"/>
    <w:multiLevelType w:val="hybridMultilevel"/>
    <w:tmpl w:val="C6427AA8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252342B"/>
    <w:multiLevelType w:val="multilevel"/>
    <w:tmpl w:val="3C8E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5" w15:restartNumberingAfterBreak="0">
    <w:nsid w:val="4F292236"/>
    <w:multiLevelType w:val="hybridMultilevel"/>
    <w:tmpl w:val="62A49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638D1"/>
    <w:multiLevelType w:val="multilevel"/>
    <w:tmpl w:val="AC4A2246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7" w15:restartNumberingAfterBreak="0">
    <w:nsid w:val="793A6C23"/>
    <w:multiLevelType w:val="multilevel"/>
    <w:tmpl w:val="A1FA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32"/>
    <w:rsid w:val="000526E4"/>
    <w:rsid w:val="000E508B"/>
    <w:rsid w:val="000F708C"/>
    <w:rsid w:val="002773C0"/>
    <w:rsid w:val="002E2FC1"/>
    <w:rsid w:val="00523A9E"/>
    <w:rsid w:val="00532E96"/>
    <w:rsid w:val="00556E21"/>
    <w:rsid w:val="00671E89"/>
    <w:rsid w:val="00887821"/>
    <w:rsid w:val="008F74E1"/>
    <w:rsid w:val="00947422"/>
    <w:rsid w:val="00A542D9"/>
    <w:rsid w:val="00B4120F"/>
    <w:rsid w:val="00B56432"/>
    <w:rsid w:val="00B93F63"/>
    <w:rsid w:val="00C27EA4"/>
    <w:rsid w:val="00CA7F58"/>
    <w:rsid w:val="00DD68C8"/>
    <w:rsid w:val="00FA07E2"/>
    <w:rsid w:val="00FA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3350E-BD54-46C9-86AB-1A4A1FF4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277"/>
  </w:style>
  <w:style w:type="paragraph" w:styleId="Titolo1">
    <w:name w:val="heading 1"/>
    <w:basedOn w:val="Normale"/>
    <w:next w:val="Normale"/>
    <w:link w:val="Titolo1Carattere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CD9"/>
  </w:style>
  <w:style w:type="character" w:customStyle="1" w:styleId="Titolo1Carattere">
    <w:name w:val="Titolo 1 Carattere"/>
    <w:basedOn w:val="Carpredefinitoparagrafo"/>
    <w:link w:val="Titolo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ientronormale">
    <w:name w:val="Normal Indent"/>
    <w:basedOn w:val="Normale"/>
    <w:uiPriority w:val="99"/>
    <w:unhideWhenUsed/>
    <w:rsid w:val="00841CD9"/>
    <w:pPr>
      <w:ind w:left="72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nfasicorsivo">
    <w:name w:val="Emphasis"/>
    <w:basedOn w:val="Carpredefinitoparagrafo"/>
    <w:uiPriority w:val="20"/>
    <w:qFormat/>
    <w:rsid w:val="00D1197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94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99"/>
    <w:rsid w:val="00FA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Micera</dc:creator>
  <cp:lastModifiedBy>utente01</cp:lastModifiedBy>
  <cp:revision>2</cp:revision>
  <dcterms:created xsi:type="dcterms:W3CDTF">2023-08-01T06:48:00Z</dcterms:created>
  <dcterms:modified xsi:type="dcterms:W3CDTF">2023-08-01T06:48:00Z</dcterms:modified>
</cp:coreProperties>
</file>